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906B3F" w:rsidP="00D80A20">
      <w:pPr>
        <w:jc w:val="both"/>
      </w:pPr>
      <w:r>
        <w:t>20</w:t>
      </w:r>
      <w:r w:rsidR="00471415">
        <w:t>.12</w:t>
      </w:r>
      <w:r w:rsidR="00344C24">
        <w:t>.2017</w:t>
      </w:r>
      <w:r w:rsidR="00D80A20" w:rsidRPr="00EF3FD7">
        <w:t xml:space="preserve">                                                                                                         </w:t>
      </w:r>
      <w:r w:rsidR="00471415">
        <w:t xml:space="preserve">              №</w:t>
      </w:r>
      <w:r>
        <w:t xml:space="preserve"> 147</w:t>
      </w:r>
      <w:r w:rsidR="00471415">
        <w:t xml:space="preserve">  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 w:rsidR="009038D0">
        <w:t>атьей</w:t>
      </w:r>
      <w:r w:rsidR="00D80A20">
        <w:t xml:space="preserve"> 33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6F1AE9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части </w:t>
      </w:r>
      <w:r w:rsidR="00906B3F">
        <w:t>дополнения пункта 3 статьи 49 «Градостроительные регламенты. Производственная зона (П</w:t>
      </w:r>
      <w:proofErr w:type="gramStart"/>
      <w:r w:rsidR="00906B3F">
        <w:t>1</w:t>
      </w:r>
      <w:proofErr w:type="gramEnd"/>
      <w:r w:rsidR="00906B3F">
        <w:t>)» следующим видом вспомогательного разрешенного использования земельных участков: историко-культурная деятельность.</w:t>
      </w:r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</w:t>
      </w:r>
      <w:r w:rsidR="00471415">
        <w:t xml:space="preserve">в срок до </w:t>
      </w:r>
      <w:r w:rsidR="00906B3F">
        <w:t>22</w:t>
      </w:r>
      <w:r w:rsidR="00471415">
        <w:t>.12</w:t>
      </w:r>
      <w:r>
        <w:t>.2017г.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1B16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41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B97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8D0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B3F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76D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1D1C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2017-12-22T08:15:00Z</cp:lastPrinted>
  <dcterms:created xsi:type="dcterms:W3CDTF">2015-10-07T06:10:00Z</dcterms:created>
  <dcterms:modified xsi:type="dcterms:W3CDTF">2017-12-22T08:42:00Z</dcterms:modified>
</cp:coreProperties>
</file>